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outlineLvl w:val="0"/>
        <w:rPr>
          <w:rFonts w:hint="default" w:ascii="黑体" w:hAnsi="黑体" w:eastAsia="黑体" w:cs="黑体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1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  <w:lang w:eastAsia="zh-CN"/>
        </w:rPr>
        <w:t>部分</w:t>
      </w:r>
      <w:r>
        <w:rPr>
          <w:rFonts w:hint="eastAsia" w:ascii="方正小标宋简体" w:eastAsia="方正小标宋简体"/>
          <w:spacing w:val="-12"/>
          <w:sz w:val="44"/>
          <w:szCs w:val="44"/>
        </w:rPr>
        <w:t>不合格项目小知识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eastAsia="方正小标宋简体"/>
          <w:spacing w:val="-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kern w:val="0"/>
          <w:sz w:val="32"/>
          <w:szCs w:val="32"/>
          <w:lang w:val="en-US" w:eastAsia="zh-CN" w:bidi="ar-SA"/>
        </w:rPr>
        <w:t>地西泮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地西泮又名安定，为镇静剂类药物，主要用于焦虑、镇静催眠，还可用于抗癫痫和抗惊厥。地西泮可以降低新鲜活鱼对外界的感知能力，降低新陈代谢，保证其经过运输后仍然鲜活，但地西泮在鱼体内残留是永久性的，它可以通过食物链传递给人类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食品中兽药最大残留限量》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31650-2019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中规定，地西泮在动物性食品中不得检出。地西泮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超标的原因可能是养殖户在养殖过程中违规使用。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kern w:val="0"/>
          <w:sz w:val="32"/>
          <w:szCs w:val="32"/>
          <w:lang w:val="en-US" w:eastAsia="zh-CN" w:bidi="ar-SA"/>
        </w:rPr>
        <w:t>磺胺类（总量）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磺胺类药物是一种人工合成的抗菌谱较广、性质稳定、使用简便的抗菌药，对大多数革兰氏阳性菌和阴性菌都有较强抑制作用，广泛用于防治鸡球虫病。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食品中兽药最大残留限量》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31650-2019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中规定，磺胺类在所有食品动物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的肌肉中</w:t>
      </w:r>
      <w:r>
        <w:rPr>
          <w:rFonts w:ascii="Times New Roman" w:hAnsi="Times New Roman" w:eastAsia="仿宋_GB2312" w:cs="Times New Roman"/>
          <w:sz w:val="32"/>
          <w:szCs w:val="32"/>
        </w:rPr>
        <w:t>最高残留限量值为100μg/kg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；在所有食品动物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产蛋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中禁用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磺胺类（总量）超标的原因</w:t>
      </w:r>
      <w:r>
        <w:rPr>
          <w:rFonts w:ascii="Times New Roman" w:hAnsi="Times New Roman" w:eastAsia="仿宋_GB2312" w:cs="Times New Roman"/>
          <w:sz w:val="32"/>
          <w:szCs w:val="32"/>
        </w:rPr>
        <w:t>，可能是养殖户在养殖过程中违规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、超量</w:t>
      </w:r>
      <w:r>
        <w:rPr>
          <w:rFonts w:ascii="Times New Roman" w:hAnsi="Times New Roman" w:eastAsia="仿宋_GB2312" w:cs="Times New Roman"/>
          <w:sz w:val="32"/>
          <w:szCs w:val="32"/>
        </w:rPr>
        <w:t>使用相关兽药。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kern w:val="0"/>
          <w:sz w:val="32"/>
          <w:szCs w:val="32"/>
          <w:lang w:val="en-US" w:eastAsia="zh-CN" w:bidi="ar-SA"/>
        </w:rPr>
        <w:t>苯并[a]芘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苯并［a］芘是一种芳烃类化合物，在环境中广泛存在，具有一定致癌性、致畸性、致突变性。《食品安全国家标准食品中污染物限量》（GB 2762-2017）中规定，油脂及其制品中苯并［a］芘最大限量值为10μg/kg。食用植物油中苯并［a］芘超标的原因，可能是油料收储、晾晒不当，从环境、包装、机械收获、运输等过程中引入污染，生产中关键工艺控制不当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kern w:val="0"/>
          <w:sz w:val="32"/>
          <w:szCs w:val="32"/>
          <w:lang w:val="en-US" w:eastAsia="zh-CN" w:bidi="ar-SA"/>
        </w:rPr>
        <w:t>铝的残留量（干样品，以Al计）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硫酸铝钾（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又名钾明矾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硫酸铝铵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又名铵明矾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）是食品加工常用的膨松剂和稳定剂，使用后产生铝残留。《食品安全国家标准 食品添加剂使用标准》（GB 2760-2014）规定，油炸面制品的铝的残留量（干样品，以Al计）最大限量值为100mg/kg。铝的残留量产生不合格的原因可能是：一是商家违规过量使用；二是原料带入；三是过程控制不严。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5B7235"/>
    <w:multiLevelType w:val="singleLevel"/>
    <w:tmpl w:val="F65B72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5AC1A43"/>
    <w:rsid w:val="0643453F"/>
    <w:rsid w:val="083119A6"/>
    <w:rsid w:val="08C70051"/>
    <w:rsid w:val="0A4036B4"/>
    <w:rsid w:val="0B23740C"/>
    <w:rsid w:val="0BF55D05"/>
    <w:rsid w:val="0D541D8A"/>
    <w:rsid w:val="0E3E57FB"/>
    <w:rsid w:val="0E4F6F46"/>
    <w:rsid w:val="0E6E3364"/>
    <w:rsid w:val="125E1B94"/>
    <w:rsid w:val="126C3CBF"/>
    <w:rsid w:val="157E5278"/>
    <w:rsid w:val="169D136B"/>
    <w:rsid w:val="190A207C"/>
    <w:rsid w:val="199130D1"/>
    <w:rsid w:val="199303A5"/>
    <w:rsid w:val="1A943B45"/>
    <w:rsid w:val="1B6D47CE"/>
    <w:rsid w:val="1C0D4647"/>
    <w:rsid w:val="1F245FB8"/>
    <w:rsid w:val="20734AD8"/>
    <w:rsid w:val="20D8603E"/>
    <w:rsid w:val="217B58C1"/>
    <w:rsid w:val="218C1169"/>
    <w:rsid w:val="22EE5E6A"/>
    <w:rsid w:val="24C105FB"/>
    <w:rsid w:val="25842F5B"/>
    <w:rsid w:val="27706704"/>
    <w:rsid w:val="28926171"/>
    <w:rsid w:val="28FE5380"/>
    <w:rsid w:val="293C4333"/>
    <w:rsid w:val="2A266F86"/>
    <w:rsid w:val="2A4550B0"/>
    <w:rsid w:val="2B453547"/>
    <w:rsid w:val="2FF93B92"/>
    <w:rsid w:val="312E4A75"/>
    <w:rsid w:val="32DE440F"/>
    <w:rsid w:val="342C28E6"/>
    <w:rsid w:val="34C459CD"/>
    <w:rsid w:val="361165EF"/>
    <w:rsid w:val="3A066159"/>
    <w:rsid w:val="3D066ED4"/>
    <w:rsid w:val="3D5B7861"/>
    <w:rsid w:val="3D8A31F3"/>
    <w:rsid w:val="3DA70F84"/>
    <w:rsid w:val="40DF5746"/>
    <w:rsid w:val="426B3C81"/>
    <w:rsid w:val="449A0830"/>
    <w:rsid w:val="47075DCC"/>
    <w:rsid w:val="48655E99"/>
    <w:rsid w:val="488E348C"/>
    <w:rsid w:val="4AA63504"/>
    <w:rsid w:val="4FAD0645"/>
    <w:rsid w:val="4FC70334"/>
    <w:rsid w:val="4FD60C7C"/>
    <w:rsid w:val="521E35D3"/>
    <w:rsid w:val="52C32932"/>
    <w:rsid w:val="52D4703A"/>
    <w:rsid w:val="534230F9"/>
    <w:rsid w:val="54D163A0"/>
    <w:rsid w:val="575B13D1"/>
    <w:rsid w:val="57CB2923"/>
    <w:rsid w:val="5C9E489B"/>
    <w:rsid w:val="5DEC4F5D"/>
    <w:rsid w:val="5E0540D0"/>
    <w:rsid w:val="5F7B3A23"/>
    <w:rsid w:val="60FF6D88"/>
    <w:rsid w:val="61DD6D44"/>
    <w:rsid w:val="66325BC9"/>
    <w:rsid w:val="699D6242"/>
    <w:rsid w:val="6BA279B0"/>
    <w:rsid w:val="6BB43DA9"/>
    <w:rsid w:val="6BB87E7B"/>
    <w:rsid w:val="74E00729"/>
    <w:rsid w:val="75057978"/>
    <w:rsid w:val="75202347"/>
    <w:rsid w:val="76D75FC2"/>
    <w:rsid w:val="773E5EB6"/>
    <w:rsid w:val="77887501"/>
    <w:rsid w:val="779B73FF"/>
    <w:rsid w:val="77E37BF6"/>
    <w:rsid w:val="79516C02"/>
    <w:rsid w:val="7BC16283"/>
    <w:rsid w:val="7C6619F8"/>
    <w:rsid w:val="7DC149D8"/>
    <w:rsid w:val="7FE8335D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0</TotalTime>
  <ScaleCrop>false</ScaleCrop>
  <LinksUpToDate>false</LinksUpToDate>
  <CharactersWithSpaces>1896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WLH</cp:lastModifiedBy>
  <cp:lastPrinted>2016-09-01T02:58:00Z</cp:lastPrinted>
  <dcterms:modified xsi:type="dcterms:W3CDTF">2021-03-22T10:04:38Z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